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F7" w:rsidRPr="009A2E02" w:rsidRDefault="009A2E02" w:rsidP="009A2E02">
      <w:pPr>
        <w:jc w:val="center"/>
        <w:rPr>
          <w:b/>
        </w:rPr>
      </w:pPr>
      <w:bookmarkStart w:id="0" w:name="_GoBack"/>
      <w:r w:rsidRPr="009A2E02">
        <w:rPr>
          <w:b/>
        </w:rPr>
        <w:t>Maroc-CEDADO : Coopération Win-Win</w:t>
      </w:r>
    </w:p>
    <w:bookmarkEnd w:id="0"/>
    <w:p w:rsidR="000435DE" w:rsidRPr="0069557D" w:rsidRDefault="004932CD" w:rsidP="00DC0340">
      <w:pPr>
        <w:jc w:val="both"/>
        <w:rPr>
          <w:b/>
          <w:i/>
        </w:rPr>
      </w:pPr>
      <w:r>
        <w:rPr>
          <w:b/>
          <w:i/>
        </w:rPr>
        <w:t>En</w:t>
      </w:r>
      <w:r w:rsidR="000435DE" w:rsidRPr="0069557D">
        <w:rPr>
          <w:b/>
          <w:i/>
        </w:rPr>
        <w:t xml:space="preserve"> formulant la demande d'adhésion à la Communauté économique des États d'Afrique de l'Ouest, </w:t>
      </w:r>
      <w:r>
        <w:rPr>
          <w:b/>
          <w:i/>
        </w:rPr>
        <w:t xml:space="preserve">le Maroc </w:t>
      </w:r>
      <w:r w:rsidR="000435DE" w:rsidRPr="0069557D">
        <w:rPr>
          <w:b/>
          <w:i/>
        </w:rPr>
        <w:t xml:space="preserve">confirme son intention de </w:t>
      </w:r>
      <w:r w:rsidR="00317BBD" w:rsidRPr="0069557D">
        <w:rPr>
          <w:b/>
          <w:i/>
        </w:rPr>
        <w:t>consolider</w:t>
      </w:r>
      <w:r w:rsidR="000435DE" w:rsidRPr="0069557D">
        <w:rPr>
          <w:b/>
          <w:i/>
        </w:rPr>
        <w:t xml:space="preserve"> un pôle nord-ouest africain.</w:t>
      </w:r>
      <w:r w:rsidR="00146F70" w:rsidRPr="0069557D">
        <w:rPr>
          <w:b/>
          <w:i/>
        </w:rPr>
        <w:t xml:space="preserve"> </w:t>
      </w:r>
      <w:r w:rsidR="00CB1382">
        <w:rPr>
          <w:b/>
          <w:i/>
        </w:rPr>
        <w:t>I</w:t>
      </w:r>
      <w:r w:rsidR="00146F70" w:rsidRPr="0069557D">
        <w:rPr>
          <w:b/>
          <w:i/>
        </w:rPr>
        <w:t>l concrétise</w:t>
      </w:r>
      <w:r w:rsidR="00CB1382" w:rsidRPr="00CB1382">
        <w:rPr>
          <w:b/>
          <w:i/>
        </w:rPr>
        <w:t xml:space="preserve"> </w:t>
      </w:r>
      <w:r w:rsidR="00CB1382">
        <w:rPr>
          <w:b/>
          <w:i/>
        </w:rPr>
        <w:t>ainsi</w:t>
      </w:r>
      <w:r w:rsidR="00146F70" w:rsidRPr="0069557D">
        <w:rPr>
          <w:b/>
          <w:i/>
        </w:rPr>
        <w:t xml:space="preserve"> sa disposition à contribuer aux activités de la CEDEAO et à apporter sa plus-value, notamment </w:t>
      </w:r>
      <w:r w:rsidR="009A2E02">
        <w:rPr>
          <w:b/>
          <w:i/>
        </w:rPr>
        <w:t>au niveau</w:t>
      </w:r>
      <w:r w:rsidR="00146F70" w:rsidRPr="0069557D">
        <w:rPr>
          <w:b/>
          <w:i/>
        </w:rPr>
        <w:t xml:space="preserve"> de la stabilité</w:t>
      </w:r>
      <w:r w:rsidR="00DE21AF">
        <w:rPr>
          <w:b/>
          <w:i/>
        </w:rPr>
        <w:t xml:space="preserve"> </w:t>
      </w:r>
      <w:r w:rsidR="009A2E02">
        <w:rPr>
          <w:b/>
          <w:i/>
        </w:rPr>
        <w:t>politique</w:t>
      </w:r>
      <w:r w:rsidR="00146F70" w:rsidRPr="0069557D">
        <w:rPr>
          <w:b/>
          <w:i/>
        </w:rPr>
        <w:t>, du progrès économique et du développement humain durable.</w:t>
      </w:r>
    </w:p>
    <w:p w:rsidR="00146F70" w:rsidRPr="00146F70" w:rsidRDefault="00146F70" w:rsidP="00DC0340">
      <w:pPr>
        <w:jc w:val="both"/>
      </w:pPr>
      <w:r w:rsidRPr="00146F70">
        <w:t xml:space="preserve">Une </w:t>
      </w:r>
      <w:r w:rsidR="002C6D7C">
        <w:t>initiative</w:t>
      </w:r>
      <w:r w:rsidRPr="00146F70">
        <w:t xml:space="preserve"> qui intervient un mois après le retour du Maroc au sein de l'Union africaine.</w:t>
      </w:r>
      <w:r>
        <w:t xml:space="preserve"> C'est en tant </w:t>
      </w:r>
      <w:r w:rsidRPr="00146F70">
        <w:t xml:space="preserve">que premier investisseur en </w:t>
      </w:r>
      <w:r w:rsidR="00943319">
        <w:t xml:space="preserve">Afrique de l'Ouest que le </w:t>
      </w:r>
      <w:r w:rsidR="00CB1382">
        <w:t>Royaume</w:t>
      </w:r>
      <w:r w:rsidR="00943319">
        <w:t xml:space="preserve"> </w:t>
      </w:r>
      <w:r w:rsidRPr="00146F70">
        <w:t xml:space="preserve">a officiellement demandé à intégrer la </w:t>
      </w:r>
      <w:r>
        <w:t>CEDEAO</w:t>
      </w:r>
      <w:r w:rsidRPr="00146F70">
        <w:t>, en tant que membre à part entière.</w:t>
      </w:r>
    </w:p>
    <w:p w:rsidR="00C814D4" w:rsidRDefault="00881FF2" w:rsidP="00DC0340">
      <w:pPr>
        <w:jc w:val="both"/>
        <w:rPr>
          <w:b/>
        </w:rPr>
      </w:pPr>
      <w:r>
        <w:rPr>
          <w:b/>
        </w:rPr>
        <w:t>Un</w:t>
      </w:r>
      <w:r w:rsidR="00664EA8">
        <w:rPr>
          <w:b/>
        </w:rPr>
        <w:t xml:space="preserve"> cadre macroéconomique </w:t>
      </w:r>
      <w:r w:rsidR="002C6D7C">
        <w:rPr>
          <w:b/>
        </w:rPr>
        <w:t>mitigé</w:t>
      </w:r>
      <w:r w:rsidR="005C5FD2">
        <w:rPr>
          <w:b/>
        </w:rPr>
        <w:t xml:space="preserve"> en 2015</w:t>
      </w:r>
    </w:p>
    <w:p w:rsidR="00C814D4" w:rsidRPr="00220CC9" w:rsidRDefault="00B405AD" w:rsidP="00DC0340">
      <w:pPr>
        <w:jc w:val="both"/>
      </w:pPr>
      <w:r w:rsidRPr="00220CC9">
        <w:t>La CEDEAO</w:t>
      </w:r>
      <w:r w:rsidR="00CB1382">
        <w:t>,</w:t>
      </w:r>
      <w:r w:rsidRPr="00220CC9">
        <w:t xml:space="preserve"> qui comprend </w:t>
      </w:r>
      <w:r w:rsidR="00220CC9">
        <w:t xml:space="preserve">15 </w:t>
      </w:r>
      <w:r w:rsidR="00872C66">
        <w:t xml:space="preserve">Etats </w:t>
      </w:r>
      <w:r w:rsidR="00220CC9" w:rsidRPr="00220CC9">
        <w:t>dont le poids lourd africain</w:t>
      </w:r>
      <w:r w:rsidR="00CB1382">
        <w:t xml:space="preserve"> </w:t>
      </w:r>
      <w:r w:rsidR="0034436B">
        <w:t>«</w:t>
      </w:r>
      <w:r w:rsidR="00220CC9" w:rsidRPr="00220CC9">
        <w:t>le Nigéria</w:t>
      </w:r>
      <w:r w:rsidR="0034436B">
        <w:t>»</w:t>
      </w:r>
      <w:r w:rsidR="00CB1382">
        <w:t xml:space="preserve"> </w:t>
      </w:r>
      <w:r w:rsidR="00220CC9" w:rsidRPr="00220CC9">
        <w:t>et l’UEMOA</w:t>
      </w:r>
      <w:r w:rsidR="00CB1382">
        <w:t>,</w:t>
      </w:r>
      <w:r w:rsidR="00220CC9" w:rsidRPr="00220CC9">
        <w:t xml:space="preserve"> </w:t>
      </w:r>
      <w:r w:rsidR="002D63A8" w:rsidRPr="00220CC9">
        <w:t xml:space="preserve">regroupe une population de plus de 320 millions d’habitants </w:t>
      </w:r>
      <w:r w:rsidR="00220CC9" w:rsidRPr="00220CC9">
        <w:t>la plus jeune au monde, répartie sur 5,1 millions de km</w:t>
      </w:r>
      <w:r w:rsidR="001C4985">
        <w:t>²</w:t>
      </w:r>
      <w:r w:rsidR="00663C19" w:rsidRPr="00220CC9">
        <w:t>. Pour</w:t>
      </w:r>
      <w:r w:rsidR="002D63A8" w:rsidRPr="00220CC9">
        <w:t xml:space="preserve"> un PIB total supérieur à 700 milliards de dollars</w:t>
      </w:r>
      <w:r w:rsidR="00663C19" w:rsidRPr="00220CC9">
        <w:t xml:space="preserve"> </w:t>
      </w:r>
      <w:r w:rsidR="00CB1382">
        <w:t>elle représente</w:t>
      </w:r>
      <w:r w:rsidR="00663C19" w:rsidRPr="00220CC9">
        <w:t xml:space="preserve"> un marché extrêmement prometteur.</w:t>
      </w:r>
      <w:r w:rsidR="00F06408">
        <w:t xml:space="preserve"> </w:t>
      </w:r>
      <w:r w:rsidR="00F06408" w:rsidRPr="008A650F">
        <w:t>En intégrant le Maroc, la CEDEAO dépasserait la Turquie et s’approcherait de l’Indonésie en termes de PIB.</w:t>
      </w:r>
    </w:p>
    <w:p w:rsidR="00342033" w:rsidRDefault="00965110" w:rsidP="00DC0340">
      <w:pPr>
        <w:jc w:val="both"/>
      </w:pPr>
      <w:r>
        <w:t>Globalement</w:t>
      </w:r>
      <w:r w:rsidR="00342033" w:rsidRPr="00663C19">
        <w:t>, l’Afrique de l’Ouest maintient un rythme de croissance en décélération, avec des taux de progression de l’activité escomptés à 4,4% en 2015</w:t>
      </w:r>
      <w:r w:rsidR="00ED4D1B">
        <w:t>,</w:t>
      </w:r>
      <w:r w:rsidR="00342033" w:rsidRPr="00663C19">
        <w:t xml:space="preserve"> contre 5,7% en 2014. Elle reste tout de même la deuxième locomotive de la croissance africaine derrière l’Afrique de l’Est qui a affiché un niveau de croissance de 6,2% en 2015</w:t>
      </w:r>
      <w:r w:rsidR="00ED4D1B">
        <w:t xml:space="preserve">, </w:t>
      </w:r>
      <w:r w:rsidR="00342033" w:rsidRPr="00663C19">
        <w:t>contre 7% en 2014.</w:t>
      </w:r>
      <w:r w:rsidR="00943319">
        <w:t xml:space="preserve"> L’on rappelle que </w:t>
      </w:r>
      <w:r w:rsidR="00E76D6C" w:rsidRPr="00E76D6C">
        <w:t xml:space="preserve">le commerce </w:t>
      </w:r>
      <w:proofErr w:type="spellStart"/>
      <w:r w:rsidR="00E76D6C" w:rsidRPr="00E76D6C">
        <w:t>intra-régional</w:t>
      </w:r>
      <w:proofErr w:type="spellEnd"/>
      <w:r w:rsidR="00E76D6C" w:rsidRPr="00E76D6C">
        <w:t xml:space="preserve"> s’élève à 10% entre les pays de la CEDEAO, </w:t>
      </w:r>
      <w:r w:rsidR="00E76D6C">
        <w:t>alors qu’</w:t>
      </w:r>
      <w:r w:rsidR="00E76D6C" w:rsidRPr="00E76D6C">
        <w:t>il stagne à moins de 3% entre les pays du Maghreb</w:t>
      </w:r>
      <w:r w:rsidR="00E76D6C">
        <w:t>.</w:t>
      </w:r>
    </w:p>
    <w:p w:rsidR="00965110" w:rsidRDefault="00965110" w:rsidP="00DC0340">
      <w:pPr>
        <w:jc w:val="both"/>
      </w:pPr>
      <w:r>
        <w:t xml:space="preserve">Dans le détail, </w:t>
      </w:r>
      <w:r w:rsidR="00663C19" w:rsidRPr="00663C19">
        <w:t xml:space="preserve">la croissance </w:t>
      </w:r>
      <w:r>
        <w:t xml:space="preserve">économique </w:t>
      </w:r>
      <w:r w:rsidR="00663C19" w:rsidRPr="00663C19">
        <w:t>en Afrique de l’Ouest s’</w:t>
      </w:r>
      <w:r>
        <w:t xml:space="preserve">est établie </w:t>
      </w:r>
      <w:r w:rsidR="00ED4D1B">
        <w:t xml:space="preserve">à </w:t>
      </w:r>
      <w:r w:rsidR="00663C19" w:rsidRPr="00663C19">
        <w:t xml:space="preserve">4,2% </w:t>
      </w:r>
      <w:r>
        <w:t>en 2015</w:t>
      </w:r>
      <w:r w:rsidR="00ED4D1B">
        <w:t>,</w:t>
      </w:r>
      <w:r>
        <w:t xml:space="preserve"> </w:t>
      </w:r>
      <w:r w:rsidR="00663C19" w:rsidRPr="00663C19">
        <w:t xml:space="preserve">contre 6,1% </w:t>
      </w:r>
      <w:r>
        <w:t>une année auparavant</w:t>
      </w:r>
      <w:r w:rsidR="00663C19" w:rsidRPr="00663C19">
        <w:t xml:space="preserve">. Cette baisse de la croissance régionale est principalement due à la baisse des prix des matières premières, en particulier du pétrole. </w:t>
      </w:r>
      <w:r w:rsidR="001C4985">
        <w:t>En effet, l</w:t>
      </w:r>
      <w:r w:rsidR="00663C19" w:rsidRPr="00663C19">
        <w:t>a chute brutale du prix du pétrole</w:t>
      </w:r>
      <w:r>
        <w:t xml:space="preserve"> </w:t>
      </w:r>
      <w:r w:rsidR="00663C19" w:rsidRPr="00663C19">
        <w:t xml:space="preserve">a mis en exergue la fragilité des fondements de la croissance ouest africaine, </w:t>
      </w:r>
      <w:r>
        <w:t xml:space="preserve">qui demeure </w:t>
      </w:r>
      <w:r w:rsidR="00663C19" w:rsidRPr="00663C19">
        <w:t>fortement dépendante de l’exp</w:t>
      </w:r>
      <w:r>
        <w:t>ortation de matières premières, à l’image du Nigéria et dans une moindre mesure le Ghana.</w:t>
      </w:r>
    </w:p>
    <w:p w:rsidR="004A11ED" w:rsidRPr="00663C19" w:rsidRDefault="00262A1A" w:rsidP="00DC0340">
      <w:pPr>
        <w:jc w:val="both"/>
      </w:pPr>
      <w:r>
        <w:t>Autre indicateur macroéconomique</w:t>
      </w:r>
      <w:r w:rsidR="001C4985">
        <w:t>, l</w:t>
      </w:r>
      <w:r>
        <w:t xml:space="preserve">’inflation, qui </w:t>
      </w:r>
      <w:r w:rsidR="004A11ED">
        <w:t>s’</w:t>
      </w:r>
      <w:r w:rsidR="001A114E">
        <w:t>est inscrite</w:t>
      </w:r>
      <w:r w:rsidR="004A11ED">
        <w:t xml:space="preserve"> en hausse en 2015. En effet, le taux d’inflation dans la communauté </w:t>
      </w:r>
      <w:r w:rsidR="001A114E">
        <w:t xml:space="preserve">a </w:t>
      </w:r>
      <w:r w:rsidR="008A0A1D">
        <w:t>été</w:t>
      </w:r>
      <w:r w:rsidR="004A11ED">
        <w:t xml:space="preserve"> de 8,3% en 2015</w:t>
      </w:r>
      <w:r w:rsidR="00ED4D1B">
        <w:t>,</w:t>
      </w:r>
      <w:r w:rsidR="004A11ED">
        <w:t xml:space="preserve"> contre 7% l’année précédente. Cette hausse globale serait liée à la hausse attendue de l’inflation au Nigéria (9,8% contre 8% en 2014) et à la forte inflation qui serait enregistrée au Ghana (15,3%).</w:t>
      </w:r>
    </w:p>
    <w:p w:rsidR="00B405AD" w:rsidRPr="004A11ED" w:rsidRDefault="004A11ED" w:rsidP="00DC0340">
      <w:pPr>
        <w:jc w:val="both"/>
        <w:rPr>
          <w:b/>
        </w:rPr>
      </w:pPr>
      <w:r w:rsidRPr="004A11ED">
        <w:rPr>
          <w:b/>
        </w:rPr>
        <w:t>Finances Publiques</w:t>
      </w:r>
      <w:r w:rsidR="001C4985">
        <w:rPr>
          <w:b/>
        </w:rPr>
        <w:t xml:space="preserve"> : une situation </w:t>
      </w:r>
      <w:r w:rsidR="00E804E1">
        <w:rPr>
          <w:b/>
        </w:rPr>
        <w:t xml:space="preserve">ambivalente </w:t>
      </w:r>
      <w:r w:rsidR="001C4985">
        <w:rPr>
          <w:b/>
        </w:rPr>
        <w:t xml:space="preserve"> </w:t>
      </w:r>
    </w:p>
    <w:p w:rsidR="00B405AD" w:rsidRPr="001C4985" w:rsidRDefault="001C4985" w:rsidP="00DC0340">
      <w:pPr>
        <w:jc w:val="both"/>
      </w:pPr>
      <w:r w:rsidRPr="001C4985">
        <w:t>Dans la zone ouest-africaine, les</w:t>
      </w:r>
      <w:r w:rsidR="004A11ED" w:rsidRPr="001C4985">
        <w:t xml:space="preserve"> gouvernements semblent confrontés à un dilemme face à la situation des finances publiques : financer l’investissement, moteur de la croissance, d’une part, et assurer l’équilibre des finances publiques, d’autre part. L’instabilité persistante du ratio du déficit budgétaire semble être liée à cette ambivalence.</w:t>
      </w:r>
    </w:p>
    <w:p w:rsidR="00664EA8" w:rsidRPr="00630180" w:rsidRDefault="001C4985" w:rsidP="00DC0340">
      <w:pPr>
        <w:jc w:val="both"/>
      </w:pPr>
      <w:r>
        <w:t>En effet, l</w:t>
      </w:r>
      <w:r w:rsidR="00664EA8">
        <w:t xml:space="preserve">e déficit budgétaire de la CEDEAO en 2015, bien qu’en dessous </w:t>
      </w:r>
      <w:r w:rsidR="00ED4D1B">
        <w:t xml:space="preserve">de </w:t>
      </w:r>
      <w:r w:rsidR="00664EA8">
        <w:t>la norme communautaire de 3% du PIB</w:t>
      </w:r>
      <w:r w:rsidR="00ED4D1B">
        <w:t>,</w:t>
      </w:r>
      <w:r w:rsidR="00664EA8">
        <w:t xml:space="preserve"> se serait aggravé. En effet, il s’est situé à 2,2% contre 0,4% </w:t>
      </w:r>
      <w:r w:rsidR="00220CC9">
        <w:t xml:space="preserve">en 2014. Cette situation serait </w:t>
      </w:r>
      <w:r w:rsidR="00664EA8">
        <w:t>essentiellement liée à l’évolution du déficit du Nigéria en 2015, qui s’est détérioré à 1,6% contre 0,9% en 2014. La pression sur les finances publiques suite à la chute du prix du pétrole expliquerait ce résultat négatif</w:t>
      </w:r>
      <w:r w:rsidR="009239AA">
        <w:t>.</w:t>
      </w:r>
    </w:p>
    <w:p w:rsidR="00664EA8" w:rsidRDefault="00664EA8" w:rsidP="00DC0340">
      <w:pPr>
        <w:jc w:val="both"/>
      </w:pPr>
      <w:r w:rsidRPr="00664EA8">
        <w:lastRenderedPageBreak/>
        <w:t xml:space="preserve">L’autre </w:t>
      </w:r>
      <w:r w:rsidR="008A0A1D">
        <w:t>composante</w:t>
      </w:r>
      <w:r w:rsidRPr="00664EA8">
        <w:t xml:space="preserve"> </w:t>
      </w:r>
      <w:r>
        <w:t>des finances publiques</w:t>
      </w:r>
      <w:r w:rsidRPr="00664EA8">
        <w:t>, la dette publique a atteint, en proportion du PIB 21% en 2015 contre 19,3% en 2014, largement en dessous du seuil critique de 70% fixé dans le dispositif de convergence de la CEDEAO.</w:t>
      </w:r>
    </w:p>
    <w:p w:rsidR="00EB09A0" w:rsidRPr="00664EA8" w:rsidRDefault="008A0A1D" w:rsidP="00DC0340">
      <w:pPr>
        <w:jc w:val="both"/>
      </w:pPr>
      <w:r>
        <w:t>D’autre part, l</w:t>
      </w:r>
      <w:r w:rsidR="00EB09A0">
        <w:t>e déficit de la balance courante</w:t>
      </w:r>
      <w:r>
        <w:t xml:space="preserve"> </w:t>
      </w:r>
      <w:r w:rsidR="00965110">
        <w:t xml:space="preserve">de la CEDEAO s’est dégradé </w:t>
      </w:r>
      <w:r w:rsidR="00EB09A0">
        <w:t xml:space="preserve">en 2015 à 3,1% contre 1,6% en 2014. La balance courante de presque tous les pays de la région est structurellement déficitaire et fortement volatile. Seuls le Nigéria (1,9%) et la Côte d’Ivoire (0,2%) continueraient à avoir un solde courant en dessous de 5%. Les autres pays </w:t>
      </w:r>
      <w:r w:rsidR="00167956">
        <w:t>de la communauté ont enregistré</w:t>
      </w:r>
      <w:r w:rsidR="00EB09A0">
        <w:t xml:space="preserve"> un déficit au-dessus de 5%.</w:t>
      </w:r>
    </w:p>
    <w:p w:rsidR="00C814D4" w:rsidRPr="004A11ED" w:rsidRDefault="004A11ED" w:rsidP="00DC0340">
      <w:pPr>
        <w:jc w:val="both"/>
        <w:rPr>
          <w:b/>
        </w:rPr>
      </w:pPr>
      <w:r>
        <w:rPr>
          <w:b/>
        </w:rPr>
        <w:t>Une a</w:t>
      </w:r>
      <w:r w:rsidRPr="004A11ED">
        <w:rPr>
          <w:b/>
        </w:rPr>
        <w:t>ubaine pour l</w:t>
      </w:r>
      <w:r w:rsidR="00A909A4">
        <w:rPr>
          <w:b/>
        </w:rPr>
        <w:t>a</w:t>
      </w:r>
      <w:r w:rsidRPr="004A11ED">
        <w:rPr>
          <w:b/>
        </w:rPr>
        <w:t xml:space="preserve"> CEDEAO</w:t>
      </w:r>
    </w:p>
    <w:p w:rsidR="002D63A8" w:rsidRDefault="00ED4D1B" w:rsidP="00DC0340">
      <w:pPr>
        <w:jc w:val="both"/>
      </w:pPr>
      <w:r>
        <w:t xml:space="preserve">Avec l’adhésion du Royaume, </w:t>
      </w:r>
      <w:r w:rsidR="002D63A8">
        <w:t>la CEDEAO profitera d’un système financier solide</w:t>
      </w:r>
      <w:r w:rsidR="00B405AD">
        <w:t xml:space="preserve"> et l’un des plus important au niveau </w:t>
      </w:r>
      <w:r w:rsidR="00630180" w:rsidRPr="00630180">
        <w:t>continent</w:t>
      </w:r>
      <w:r w:rsidR="00B405AD">
        <w:t>al</w:t>
      </w:r>
      <w:r w:rsidR="00630180" w:rsidRPr="00630180">
        <w:t xml:space="preserve"> après l'Afrique du Sud et d'une industrie </w:t>
      </w:r>
      <w:r w:rsidR="001C4985">
        <w:t xml:space="preserve">basée sur le développement des </w:t>
      </w:r>
      <w:r w:rsidR="001C4985" w:rsidRPr="00630180">
        <w:t>secteurs</w:t>
      </w:r>
      <w:r w:rsidR="00630180" w:rsidRPr="00630180">
        <w:t xml:space="preserve"> modernes comme</w:t>
      </w:r>
      <w:r w:rsidR="001C4985">
        <w:t xml:space="preserve"> l'aéronautique,</w:t>
      </w:r>
      <w:r w:rsidR="00630180" w:rsidRPr="00630180">
        <w:t xml:space="preserve"> l'automobile,</w:t>
      </w:r>
      <w:r w:rsidR="009A2E02">
        <w:t xml:space="preserve"> l’énergie renouvelable et</w:t>
      </w:r>
      <w:r w:rsidR="00630180" w:rsidRPr="00630180">
        <w:t xml:space="preserve"> l'électronique.</w:t>
      </w:r>
    </w:p>
    <w:p w:rsidR="004A11ED" w:rsidRPr="00663C19" w:rsidRDefault="004A11ED" w:rsidP="00DC0340">
      <w:pPr>
        <w:jc w:val="both"/>
      </w:pPr>
      <w:r>
        <w:t xml:space="preserve">En outre, </w:t>
      </w:r>
      <w:r w:rsidR="008A0A1D">
        <w:t>l’intégration</w:t>
      </w:r>
      <w:r>
        <w:t xml:space="preserve"> du Maroc permettra aussi de rééquilibrer la </w:t>
      </w:r>
      <w:r w:rsidR="001C4985">
        <w:t>structure de la croissance</w:t>
      </w:r>
      <w:r>
        <w:t>, puisque le développement d</w:t>
      </w:r>
      <w:r w:rsidR="00A909A4">
        <w:t xml:space="preserve">e la </w:t>
      </w:r>
      <w:r>
        <w:t>CEDEAO reste tributaire des ré</w:t>
      </w:r>
      <w:r w:rsidR="005B55CB">
        <w:t xml:space="preserve">sultats affichés par le Nigéria, </w:t>
      </w:r>
      <w:r>
        <w:t xml:space="preserve">pays exportateur du pétrole </w:t>
      </w:r>
      <w:r w:rsidRPr="00663C19">
        <w:t xml:space="preserve">qui abrite la moitié de la population de la CEDEAO, </w:t>
      </w:r>
      <w:r>
        <w:t xml:space="preserve">et qui </w:t>
      </w:r>
      <w:r w:rsidRPr="00663C19">
        <w:t>pèse également 78% de son PIB.</w:t>
      </w:r>
    </w:p>
    <w:p w:rsidR="00C814D4" w:rsidRDefault="008A0A1D" w:rsidP="00DC0340">
      <w:pPr>
        <w:jc w:val="both"/>
      </w:pPr>
      <w:r>
        <w:t>L’on rappelle que cette adhésion</w:t>
      </w:r>
      <w:r w:rsidR="009F4237">
        <w:t xml:space="preserve"> </w:t>
      </w:r>
      <w:r>
        <w:t>ne sera pas dénué</w:t>
      </w:r>
      <w:r w:rsidR="00727299">
        <w:t>e</w:t>
      </w:r>
      <w:r>
        <w:t xml:space="preserve"> de défis </w:t>
      </w:r>
      <w:r w:rsidR="001518B5">
        <w:t xml:space="preserve">pour le </w:t>
      </w:r>
      <w:r w:rsidR="00ED4D1B">
        <w:t>R</w:t>
      </w:r>
      <w:r w:rsidR="001518B5">
        <w:t>oyaume</w:t>
      </w:r>
      <w:r w:rsidR="003A394A">
        <w:t>,</w:t>
      </w:r>
      <w:r w:rsidR="00727299">
        <w:t xml:space="preserve"> puisqu’</w:t>
      </w:r>
      <w:r w:rsidR="00407B4D">
        <w:t>en intégrant la communauté</w:t>
      </w:r>
      <w:r w:rsidR="005B55CB">
        <w:t>,</w:t>
      </w:r>
      <w:r w:rsidR="00407B4D">
        <w:t xml:space="preserve"> </w:t>
      </w:r>
      <w:r w:rsidR="003A394A">
        <w:t xml:space="preserve">il </w:t>
      </w:r>
      <w:r w:rsidR="00727299">
        <w:t>devra accepter le principe de libre-</w:t>
      </w:r>
      <w:r w:rsidR="00FB3171">
        <w:t>circulation des</w:t>
      </w:r>
      <w:r w:rsidR="00727299">
        <w:t xml:space="preserve"> personnes ressortissant des pays membres </w:t>
      </w:r>
      <w:r w:rsidR="003A394A">
        <w:t>(</w:t>
      </w:r>
      <w:r w:rsidR="007B71E5">
        <w:t>passeport et carte d’identité uniques)</w:t>
      </w:r>
      <w:r w:rsidR="00ED4D1B">
        <w:t>. P</w:t>
      </w:r>
      <w:r w:rsidR="007B71E5">
        <w:t>ar conséquent</w:t>
      </w:r>
      <w:r w:rsidR="00ED4D1B">
        <w:t xml:space="preserve">, il </w:t>
      </w:r>
      <w:r w:rsidR="00727299">
        <w:t>devra faire</w:t>
      </w:r>
      <w:r w:rsidR="007B71E5">
        <w:t xml:space="preserve"> face aux pressions migratoires</w:t>
      </w:r>
      <w:r w:rsidR="00CD3505">
        <w:t xml:space="preserve"> en maîtrisant</w:t>
      </w:r>
      <w:r w:rsidR="00CD3505" w:rsidRPr="000435DE">
        <w:t xml:space="preserve"> davantage </w:t>
      </w:r>
      <w:r w:rsidR="00CD3505">
        <w:t>ses</w:t>
      </w:r>
      <w:r w:rsidR="00CD3505" w:rsidRPr="000435DE">
        <w:t xml:space="preserve"> frontières</w:t>
      </w:r>
      <w:r w:rsidR="00167956">
        <w:t>.</w:t>
      </w:r>
    </w:p>
    <w:p w:rsidR="00DA57FF" w:rsidRPr="009F4237" w:rsidRDefault="009F4237" w:rsidP="009F4237">
      <w:pPr>
        <w:jc w:val="right"/>
        <w:rPr>
          <w:b/>
        </w:rPr>
      </w:pPr>
      <w:r w:rsidRPr="009F4237">
        <w:rPr>
          <w:b/>
        </w:rPr>
        <w:t xml:space="preserve">Youssef </w:t>
      </w:r>
      <w:proofErr w:type="spellStart"/>
      <w:r w:rsidRPr="009F4237">
        <w:rPr>
          <w:b/>
        </w:rPr>
        <w:t>Seddik</w:t>
      </w:r>
      <w:proofErr w:type="spellEnd"/>
    </w:p>
    <w:sectPr w:rsidR="00DA57FF" w:rsidRPr="009F42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26"/>
    <w:rsid w:val="000435DE"/>
    <w:rsid w:val="00146F70"/>
    <w:rsid w:val="001518B5"/>
    <w:rsid w:val="00167956"/>
    <w:rsid w:val="001A114E"/>
    <w:rsid w:val="001C4985"/>
    <w:rsid w:val="00220CC9"/>
    <w:rsid w:val="00262A1A"/>
    <w:rsid w:val="002C6D7C"/>
    <w:rsid w:val="002D63A8"/>
    <w:rsid w:val="00317BBD"/>
    <w:rsid w:val="00326F26"/>
    <w:rsid w:val="00342033"/>
    <w:rsid w:val="0034436B"/>
    <w:rsid w:val="003A1506"/>
    <w:rsid w:val="003A394A"/>
    <w:rsid w:val="00407B4D"/>
    <w:rsid w:val="004932CD"/>
    <w:rsid w:val="004A11ED"/>
    <w:rsid w:val="0051632B"/>
    <w:rsid w:val="005B0B91"/>
    <w:rsid w:val="005B55CB"/>
    <w:rsid w:val="005C5FD2"/>
    <w:rsid w:val="00630180"/>
    <w:rsid w:val="00657CC9"/>
    <w:rsid w:val="00663C19"/>
    <w:rsid w:val="00664EA8"/>
    <w:rsid w:val="006811D6"/>
    <w:rsid w:val="0069557D"/>
    <w:rsid w:val="006C3651"/>
    <w:rsid w:val="006F4D13"/>
    <w:rsid w:val="00727299"/>
    <w:rsid w:val="0075759A"/>
    <w:rsid w:val="007B71E5"/>
    <w:rsid w:val="00820D48"/>
    <w:rsid w:val="00872C66"/>
    <w:rsid w:val="00881FF2"/>
    <w:rsid w:val="00897E03"/>
    <w:rsid w:val="008A0A1D"/>
    <w:rsid w:val="009239AA"/>
    <w:rsid w:val="00943319"/>
    <w:rsid w:val="00965110"/>
    <w:rsid w:val="009A2E02"/>
    <w:rsid w:val="009F4237"/>
    <w:rsid w:val="00A149BA"/>
    <w:rsid w:val="00A52534"/>
    <w:rsid w:val="00A909A4"/>
    <w:rsid w:val="00AE50C5"/>
    <w:rsid w:val="00B405AD"/>
    <w:rsid w:val="00B81440"/>
    <w:rsid w:val="00C814D4"/>
    <w:rsid w:val="00CB1382"/>
    <w:rsid w:val="00CD3505"/>
    <w:rsid w:val="00CE4EF7"/>
    <w:rsid w:val="00DA57FF"/>
    <w:rsid w:val="00DC0340"/>
    <w:rsid w:val="00DE21AF"/>
    <w:rsid w:val="00E76D6C"/>
    <w:rsid w:val="00E804E1"/>
    <w:rsid w:val="00EB09A0"/>
    <w:rsid w:val="00ED4D1B"/>
    <w:rsid w:val="00EF3EAE"/>
    <w:rsid w:val="00F06408"/>
    <w:rsid w:val="00FB3171"/>
    <w:rsid w:val="00FD2E27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B97F"/>
  <w15:chartTrackingRefBased/>
  <w15:docId w15:val="{4B79C888-8603-4724-BAC4-314D2919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146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MA" w:eastAsia="fr-MA"/>
    </w:rPr>
  </w:style>
  <w:style w:type="character" w:styleId="lev">
    <w:name w:val="Strong"/>
    <w:basedOn w:val="Policepardfaut"/>
    <w:uiPriority w:val="22"/>
    <w:qFormat/>
    <w:rsid w:val="005B0B91"/>
    <w:rPr>
      <w:b/>
      <w:bCs/>
    </w:rPr>
  </w:style>
  <w:style w:type="paragraph" w:customStyle="1" w:styleId="lead">
    <w:name w:val="lead"/>
    <w:basedOn w:val="Normal"/>
    <w:rsid w:val="0004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MA" w:eastAsia="fr-MA"/>
    </w:rPr>
  </w:style>
  <w:style w:type="character" w:customStyle="1" w:styleId="Titre2Car">
    <w:name w:val="Titre 2 Car"/>
    <w:basedOn w:val="Policepardfaut"/>
    <w:link w:val="Titre2"/>
    <w:uiPriority w:val="9"/>
    <w:rsid w:val="00146F70"/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character" w:customStyle="1" w:styleId="apple-converted-space">
    <w:name w:val="apple-converted-space"/>
    <w:basedOn w:val="Policepardfaut"/>
    <w:rsid w:val="001C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Salvatore</dc:creator>
  <cp:keywords/>
  <dc:description/>
  <cp:lastModifiedBy>Lorenzo Salvatore</cp:lastModifiedBy>
  <cp:revision>39</cp:revision>
  <dcterms:created xsi:type="dcterms:W3CDTF">2017-02-27T11:46:00Z</dcterms:created>
  <dcterms:modified xsi:type="dcterms:W3CDTF">2017-03-02T09:09:00Z</dcterms:modified>
</cp:coreProperties>
</file>